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通榆县信访信息中心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eastAsia="楷体_GB2312"/>
        </w:rPr>
      </w:pPr>
      <w:r>
        <w:rPr>
          <w:rFonts w:hint="eastAsia" w:eastAsia="楷体_GB2312"/>
        </w:rPr>
        <w:t>负责全县信访信息工作系统的管理，信访信息的采集、制作和编发，以及对信访工作现代化办公的设备、电子监控系统、电子网络系统设备的管理，负责省、市信访信息中心交办的各项工作任务。</w:t>
      </w:r>
    </w:p>
    <w:p>
      <w:pPr>
        <w:ind w:firstLine="640" w:firstLineChars="200"/>
      </w:pPr>
      <w:r>
        <w:rPr>
          <w:rFonts w:eastAsia="楷体_GB2312"/>
        </w:rPr>
        <w:t>二、机构设置</w:t>
      </w:r>
    </w:p>
    <w:p>
      <w:pPr>
        <w:pStyle w:val="51"/>
        <w:ind w:firstLine="640" w:firstLineChars="200"/>
        <w:rPr>
          <w:rFonts w:eastAsia="仿宋_GB2312"/>
        </w:rPr>
      </w:pPr>
      <w:r>
        <w:rPr>
          <w:rFonts w:eastAsia="仿宋_GB2312"/>
        </w:rPr>
        <w:t>根据上述职责，</w:t>
      </w:r>
      <w:r>
        <w:rPr>
          <w:rFonts w:hint="eastAsia" w:eastAsia="仿宋_GB2312"/>
          <w:u w:val="single"/>
          <w:lang w:val="en-US" w:eastAsia="zh-CN"/>
        </w:rPr>
        <w:t>通榆县信访信息中心</w:t>
      </w:r>
      <w:r>
        <w:rPr>
          <w:rFonts w:eastAsia="仿宋_GB2312"/>
        </w:rPr>
        <w:t>内设</w:t>
      </w:r>
      <w:r>
        <w:rPr>
          <w:rFonts w:hint="eastAsia" w:eastAsia="仿宋_GB2312"/>
          <w:u w:val="single"/>
          <w:lang w:val="en-US" w:eastAsia="zh-CN"/>
        </w:rPr>
        <w:t>1</w:t>
      </w:r>
      <w:r>
        <w:rPr>
          <w:rFonts w:eastAsia="仿宋_GB2312"/>
        </w:rPr>
        <w:t>个机构。</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80.64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80.64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14.64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14.64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8.52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8.52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108.49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108.49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通榆县信访信息中心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108.49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108.49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108.49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108.49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108.49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kern w:val="0"/>
                <w:sz w:val="20"/>
                <w:lang w:val="en-US" w:eastAsia="zh-CN"/>
              </w:rPr>
              <w:t>108.49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14:textFill>
                        <w14:solidFill>
                          <w14:schemeClr w14:val="tx1"/>
                        </w14:solidFill>
                      </w14:textFill>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机关服务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二、</w:t>
                  </w:r>
                  <w:r>
                    <w:rPr>
                      <w:rFonts w:hint="eastAsia" w:ascii="宋体" w:hAnsi="宋体" w:eastAsia="宋体" w:cs="宋体"/>
                      <w:color w:val="000000" w:themeColor="text1"/>
                      <w:kern w:val="0"/>
                      <w:sz w:val="20"/>
                      <w14:textFill>
                        <w14:solidFill>
                          <w14:schemeClr w14:val="tx1"/>
                        </w14:solidFill>
                      </w14:textFill>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14.64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14.64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11.37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11.37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2.77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2.77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bidi="ar-SA"/>
                      <w14:textFill>
                        <w14:solidFill>
                          <w14:schemeClr w14:val="tx1"/>
                        </w14:solidFill>
                      </w14:textFill>
                    </w:rPr>
                    <w:t xml:space="preserve">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14:textFill>
                        <w14:solidFill>
                          <w14:schemeClr w14:val="tx1"/>
                        </w14:solidFill>
                      </w14:textFill>
                    </w:rPr>
                  </w:pPr>
                  <w:r>
                    <w:rPr>
                      <w:rFonts w:hint="eastAsia" w:ascii="宋体" w:hAnsi="宋体" w:eastAsia="宋体" w:cs="宋体"/>
                      <w:color w:val="000000" w:themeColor="text1"/>
                      <w:kern w:val="0"/>
                      <w:sz w:val="20"/>
                      <w14:textFill>
                        <w14:solidFill>
                          <w14:schemeClr w14:val="tx1"/>
                        </w14:solidFill>
                      </w14:textFill>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14:textFill>
                        <w14:solidFill>
                          <w14:schemeClr w14:val="tx1"/>
                        </w14:solidFill>
                      </w14:textFill>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lang w:eastAsia="zh-CN"/>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ascii="宋体" w:hAnsi="宋体" w:eastAsia="宋体" w:cs="宋体"/>
                      <w:color w:val="000000" w:themeColor="text1"/>
                      <w:kern w:val="0"/>
                      <w:sz w:val="20"/>
                      <w14:textFill>
                        <w14:solidFill>
                          <w14:schemeClr w14:val="tx1"/>
                        </w14:solidFill>
                      </w14:textFill>
                    </w:rPr>
                  </w:pPr>
                  <w:r>
                    <w:rPr>
                      <w:rFonts w:hint="eastAsia" w:ascii="宋体" w:hAnsi="宋体" w:eastAsia="宋体" w:cs="宋体"/>
                      <w:color w:val="000000" w:themeColor="text1"/>
                      <w:kern w:val="0"/>
                      <w:sz w:val="20"/>
                      <w14:textFill>
                        <w14:solidFill>
                          <w14:schemeClr w14:val="tx1"/>
                        </w14:solidFill>
                      </w14:textFill>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eastAsia="zh-CN"/>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108.49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108.49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44"/>
              <w:gridCol w:w="807"/>
              <w:gridCol w:w="688"/>
              <w:gridCol w:w="1721"/>
              <w:gridCol w:w="864"/>
              <w:gridCol w:w="840"/>
              <w:gridCol w:w="64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4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0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4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108.49</w:t>
                  </w: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80.64</w:t>
                  </w: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80.64</w:t>
                  </w: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108.49</w:t>
                  </w: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14.64</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14.64</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4.69</w:t>
                  </w: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4.69</w:t>
                  </w: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8.52</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8.52</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108.49</w:t>
                  </w: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108.49</w:t>
                  </w: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108.49</w:t>
                  </w: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4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4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108.49</w:t>
                  </w:r>
                  <w:r>
                    <w:rPr>
                      <w:rFonts w:eastAsia="黑体"/>
                      <w:kern w:val="0"/>
                      <w:sz w:val="20"/>
                    </w:rPr>
                    <w:t>　</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黑体"/>
                      <w:kern w:val="0"/>
                      <w:sz w:val="20"/>
                      <w:lang w:val="en-US" w:eastAsia="zh-CN"/>
                    </w:rPr>
                    <w:t>108.49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108.49</w:t>
                  </w:r>
                  <w:r>
                    <w:rPr>
                      <w:rFonts w:eastAsia="宋体"/>
                      <w:kern w:val="0"/>
                      <w:sz w:val="20"/>
                    </w:rPr>
                    <w:t>　</w:t>
                  </w:r>
                </w:p>
              </w:tc>
              <w:tc>
                <w:tcPr>
                  <w:tcW w:w="84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108.49</w:t>
                  </w:r>
                  <w:r>
                    <w:rPr>
                      <w:rFonts w:eastAsia="宋体"/>
                      <w:kern w:val="0"/>
                      <w:sz w:val="20"/>
                    </w:rPr>
                    <w:t>　</w:t>
                  </w:r>
                </w:p>
              </w:tc>
              <w:tc>
                <w:tcPr>
                  <w:tcW w:w="64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14:textFill>
                        <w14:solidFill>
                          <w14:schemeClr w14:val="tx1"/>
                        </w14:solidFill>
                      </w14:textFill>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机关服务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80.64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二、</w:t>
                  </w:r>
                  <w:r>
                    <w:rPr>
                      <w:rFonts w:hint="eastAsia" w:ascii="宋体" w:hAnsi="宋体" w:eastAsia="宋体" w:cs="宋体"/>
                      <w:color w:val="000000" w:themeColor="text1"/>
                      <w:kern w:val="0"/>
                      <w:sz w:val="20"/>
                      <w14:textFill>
                        <w14:solidFill>
                          <w14:schemeClr w14:val="tx1"/>
                        </w14:solidFill>
                      </w14:textFill>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14.64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11.37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2.77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bidi="ar-SA"/>
                      <w14:textFill>
                        <w14:solidFill>
                          <w14:schemeClr w14:val="tx1"/>
                        </w14:solidFill>
                      </w14:textFill>
                    </w:rPr>
                    <w:t xml:space="preserve">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14:textFill>
                        <w14:solidFill>
                          <w14:schemeClr w14:val="tx1"/>
                        </w14:solidFill>
                      </w14:textFill>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14:textFill>
                        <w14:solidFill>
                          <w14:schemeClr w14:val="tx1"/>
                        </w14:solidFill>
                      </w14:textFill>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14:textFill>
                        <w14:solidFill>
                          <w14:schemeClr w14:val="tx1"/>
                        </w14:solidFill>
                      </w14:textFill>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val="en-US" w:eastAsia="zh-CN" w:bidi="ar-SA"/>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8.52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themeColor="text1"/>
                      <w:kern w:val="0"/>
                      <w:sz w:val="20"/>
                      <w:lang w:eastAsia="zh-CN"/>
                      <w14:textFill>
                        <w14:solidFill>
                          <w14:schemeClr w14:val="tx1"/>
                        </w14:solidFill>
                      </w14:textFill>
                    </w:rPr>
                  </w:pPr>
                  <w:r>
                    <w:rPr>
                      <w:rFonts w:hint="eastAsia" w:ascii="宋体" w:hAnsi="宋体" w:eastAsia="宋体" w:cs="宋体"/>
                      <w:color w:val="000000" w:themeColor="text1"/>
                      <w:kern w:val="0"/>
                      <w:sz w:val="20"/>
                      <w:lang w:eastAsia="zh-CN"/>
                      <w14:textFill>
                        <w14:solidFill>
                          <w14:schemeClr w14:val="tx1"/>
                        </w14:solidFill>
                      </w14:textFill>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108.49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108.49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宋体" w:hAnsi="宋体" w:eastAsia="宋体" w:cs="宋体"/>
                      <w:color w:val="000000" w:themeColor="text1"/>
                      <w:kern w:val="0"/>
                      <w:sz w:val="20"/>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99.85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bookmarkStart w:id="0" w:name="_GoBack"/>
                  <w:bookmarkEnd w:id="0"/>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2"/>
        <w:gridCol w:w="2217"/>
        <w:gridCol w:w="1701"/>
        <w:gridCol w:w="1830"/>
      </w:tblGrid>
      <w:tr>
        <w:tblPrEx>
          <w:tblCellMar>
            <w:top w:w="0" w:type="dxa"/>
            <w:left w:w="108" w:type="dxa"/>
            <w:bottom w:w="0" w:type="dxa"/>
            <w:right w:w="108" w:type="dxa"/>
          </w:tblCellMar>
        </w:tblPrEx>
        <w:trPr>
          <w:trHeight w:val="1581" w:hRule="atLeast"/>
          <w:jc w:val="center"/>
        </w:trPr>
        <w:tc>
          <w:tcPr>
            <w:tcW w:w="8920"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84" w:hRule="atLeast"/>
          <w:jc w:val="center"/>
        </w:trPr>
        <w:tc>
          <w:tcPr>
            <w:tcW w:w="3172"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17"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1"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76" w:hRule="atLeast"/>
          <w:jc w:val="center"/>
        </w:trPr>
        <w:tc>
          <w:tcPr>
            <w:tcW w:w="3172"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17"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1"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17"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108.49</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99.85</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37.74</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37.74</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2.64</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2.64</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8.00</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8.00</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22.66</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22.66</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784"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11.36</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11.36</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2.77</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2.77</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4.55</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4.55</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0.64</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0.64</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住房公积金</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8.52</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8.52</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0.98</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0.98</w:t>
            </w: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0"/>
                <w:szCs w:val="20"/>
              </w:rPr>
            </w:pP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8.64</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8.64</w:t>
            </w: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rPr>
              <w:t>3.50</w:t>
            </w: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p>
        </w:tc>
        <w:tc>
          <w:tcPr>
            <w:tcW w:w="18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3.50</w:t>
            </w: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0.52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0.52</w:t>
            </w: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0.10</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0.10</w:t>
            </w: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2.22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2.22</w:t>
            </w:r>
          </w:p>
        </w:tc>
      </w:tr>
      <w:tr>
        <w:tblPrEx>
          <w:tblCellMar>
            <w:top w:w="0" w:type="dxa"/>
            <w:left w:w="108" w:type="dxa"/>
            <w:bottom w:w="0" w:type="dxa"/>
            <w:right w:w="108" w:type="dxa"/>
          </w:tblCellMar>
        </w:tblPrEx>
        <w:trPr>
          <w:trHeight w:val="505" w:hRule="atLeast"/>
          <w:jc w:val="center"/>
        </w:trPr>
        <w:tc>
          <w:tcPr>
            <w:tcW w:w="31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1.10</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1.10</w:t>
            </w:r>
          </w:p>
        </w:tc>
      </w:tr>
      <w:tr>
        <w:tblPrEx>
          <w:tblCellMar>
            <w:top w:w="0" w:type="dxa"/>
            <w:left w:w="108" w:type="dxa"/>
            <w:bottom w:w="0" w:type="dxa"/>
            <w:right w:w="108" w:type="dxa"/>
          </w:tblCellMar>
        </w:tblPrEx>
        <w:trPr>
          <w:trHeight w:val="527" w:hRule="atLeast"/>
          <w:jc w:val="center"/>
        </w:trPr>
        <w:tc>
          <w:tcPr>
            <w:tcW w:w="3172" w:type="dxa"/>
            <w:tcBorders>
              <w:top w:val="single" w:color="auto" w:sz="4" w:space="0"/>
              <w:left w:val="single" w:color="auto" w:sz="4" w:space="0"/>
              <w:bottom w:val="single" w:color="auto" w:sz="4" w:space="0"/>
              <w:right w:val="single" w:color="auto" w:sz="4" w:space="0"/>
            </w:tcBorders>
            <w:noWrap w:val="0"/>
            <w:vAlign w:val="center"/>
          </w:tcPr>
          <w:p>
            <w:pPr>
              <w:autoSpaceDN w:val="0"/>
              <w:ind w:firstLine="200" w:firstLineChars="100"/>
              <w:jc w:val="left"/>
              <w:textAlignment w:val="center"/>
              <w:rPr>
                <w:rFonts w:eastAsia="宋体"/>
                <w:color w:val="000000"/>
                <w:kern w:val="0"/>
                <w:sz w:val="20"/>
              </w:rPr>
            </w:pPr>
            <w:r>
              <w:rPr>
                <w:rFonts w:hint="eastAsia" w:eastAsia="宋体"/>
                <w:color w:val="000000"/>
                <w:kern w:val="0"/>
                <w:sz w:val="20"/>
              </w:rPr>
              <w:t>工会经费</w:t>
            </w:r>
          </w:p>
        </w:tc>
        <w:tc>
          <w:tcPr>
            <w:tcW w:w="221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szCs w:val="20"/>
              </w:rPr>
            </w:pPr>
            <w:r>
              <w:rPr>
                <w:rFonts w:hint="eastAsia"/>
                <w:sz w:val="20"/>
                <w:szCs w:val="20"/>
              </w:rPr>
              <w:t>1.20</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szCs w:val="20"/>
                <w:lang w:val="en-US" w:eastAsia="zh-CN" w:bidi="ar-SA"/>
              </w:rPr>
            </w:pPr>
            <w:r>
              <w:rPr>
                <w:rFonts w:hint="eastAsia"/>
                <w:sz w:val="20"/>
                <w:szCs w:val="20"/>
              </w:rPr>
              <w:t>1.20</w:t>
            </w:r>
          </w:p>
        </w:tc>
      </w:tr>
    </w:tbl>
    <w:p>
      <w:pPr>
        <w:ind w:firstLine="480" w:firstLineChars="200"/>
        <w:rPr>
          <w:rFonts w:eastAsia="楷体"/>
        </w:rPr>
      </w:pPr>
      <w:r>
        <w:rPr>
          <w:rFonts w:hint="eastAsia" w:ascii="楷体" w:hAnsi="楷体" w:eastAsia="楷体" w:cs="楷体"/>
          <w:sz w:val="24"/>
          <w:szCs w:val="24"/>
        </w:rPr>
        <w:t>注：经济科目填列至款级。没有一般公共预算拨款的，公开空表，不得删除。</w:t>
      </w: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108.49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11.91</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节约开支</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80.64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14.64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4.69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8.52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99.85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8.64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80.64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人员工资</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14.64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基本养老保险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医疗卫生和计划生育支出</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4.69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医疗保险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8.52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108.49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99.85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8.64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本部门无一般公共预算拨款</w:t>
      </w:r>
      <w:r>
        <w:rPr>
          <w:rFonts w:hint="eastAsia" w:ascii="仿宋_GB2312" w:hAnsi="仿宋_GB2312" w:cs="仿宋_GB2312"/>
          <w:szCs w:val="32"/>
          <w:lang w:eastAsia="zh-CN"/>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本部门无政府采购情况。</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本部门无国有资产。</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eastAsia="仿宋_GB2312"/>
          <w:szCs w:val="32"/>
          <w:lang w:eastAsia="zh-CN"/>
        </w:rPr>
      </w:pPr>
      <w:r>
        <w:rPr>
          <w:rFonts w:hint="eastAsia" w:ascii="仿宋_GB2312" w:hAnsi="仿宋_GB2312" w:eastAsia="仿宋_GB2312" w:cs="仿宋_GB2312"/>
          <w:szCs w:val="32"/>
        </w:rPr>
        <w:t>本部门无项目支出</w:t>
      </w:r>
      <w:r>
        <w:rPr>
          <w:rFonts w:hint="eastAsia" w:ascii="仿宋_GB2312" w:hAnsi="仿宋_GB2312" w:cs="仿宋_GB2312"/>
          <w:szCs w:val="32"/>
          <w:lang w:eastAsia="zh-CN"/>
        </w:rPr>
        <w:t>。</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eastAsia="仿宋_GB2312" w:cs="仿宋_GB2312"/>
          <w:szCs w:val="32"/>
        </w:rPr>
        <w:t>本部门无项目支出</w:t>
      </w:r>
      <w:r>
        <w:rPr>
          <w:rFonts w:hint="eastAsia" w:ascii="仿宋_GB2312" w:hAnsi="仿宋_GB2312" w:cs="仿宋_GB2312"/>
          <w:szCs w:val="32"/>
          <w:lang w:eastAsia="zh-CN"/>
        </w:rPr>
        <w:t>。</w:t>
      </w: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xYmNmNmExMDNkZGZlZjIyYjFkNDdiMGFkMzM4Zjg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48337B7"/>
    <w:rsid w:val="2539376C"/>
    <w:rsid w:val="254C6FAD"/>
    <w:rsid w:val="259B5BC5"/>
    <w:rsid w:val="25C7462E"/>
    <w:rsid w:val="25F62C4E"/>
    <w:rsid w:val="265718D7"/>
    <w:rsid w:val="26643D6C"/>
    <w:rsid w:val="26FE109D"/>
    <w:rsid w:val="27073E1E"/>
    <w:rsid w:val="27B04AB3"/>
    <w:rsid w:val="28A63332"/>
    <w:rsid w:val="29A56412"/>
    <w:rsid w:val="29C45F24"/>
    <w:rsid w:val="2A7D722A"/>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4D6B9F"/>
    <w:rsid w:val="42982B4E"/>
    <w:rsid w:val="436B1E42"/>
    <w:rsid w:val="43993170"/>
    <w:rsid w:val="44054362"/>
    <w:rsid w:val="449C5E6A"/>
    <w:rsid w:val="456D114B"/>
    <w:rsid w:val="45EB670F"/>
    <w:rsid w:val="46A27DC0"/>
    <w:rsid w:val="46AB7C0D"/>
    <w:rsid w:val="46D44808"/>
    <w:rsid w:val="47CF49E6"/>
    <w:rsid w:val="4843587B"/>
    <w:rsid w:val="48674ED2"/>
    <w:rsid w:val="487708E6"/>
    <w:rsid w:val="49645F71"/>
    <w:rsid w:val="499F5C68"/>
    <w:rsid w:val="4AF16062"/>
    <w:rsid w:val="4B646DDD"/>
    <w:rsid w:val="4B7F44F8"/>
    <w:rsid w:val="4BAC24C5"/>
    <w:rsid w:val="4BCC3EEB"/>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B14475"/>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516EF0"/>
    <w:rsid w:val="677772D0"/>
    <w:rsid w:val="679461D3"/>
    <w:rsid w:val="6858287E"/>
    <w:rsid w:val="69157114"/>
    <w:rsid w:val="691A443E"/>
    <w:rsid w:val="6A80735F"/>
    <w:rsid w:val="6ACC5E47"/>
    <w:rsid w:val="6AD43ED1"/>
    <w:rsid w:val="6B11024D"/>
    <w:rsid w:val="6B7D5B36"/>
    <w:rsid w:val="6CF120A8"/>
    <w:rsid w:val="6DE73F9F"/>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安逸</cp:lastModifiedBy>
  <cp:lastPrinted>2024-01-24T07:54:00Z</cp:lastPrinted>
  <dcterms:modified xsi:type="dcterms:W3CDTF">2024-01-24T09:08:00Z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